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04" w:rsidRPr="004B3604" w:rsidRDefault="004B3604" w:rsidP="004B3604">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4B3604">
        <w:rPr>
          <w:rFonts w:ascii="Arial" w:eastAsia="Times New Roman" w:hAnsi="Arial" w:cs="Arial"/>
          <w:b/>
          <w:bCs/>
          <w:color w:val="4D4D4D"/>
          <w:kern w:val="36"/>
          <w:sz w:val="45"/>
          <w:szCs w:val="45"/>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 (утв. решением Российской трехсторонней комиссии по регулированию социально-трудовых отношений от 23 декабря 2024 г., протокол № 10пр)</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bookmarkStart w:id="0" w:name="0"/>
      <w:bookmarkStart w:id="1" w:name="_GoBack"/>
      <w:bookmarkEnd w:id="0"/>
      <w:bookmarkEnd w:id="1"/>
      <w:r w:rsidRPr="004B3604">
        <w:rPr>
          <w:rFonts w:ascii="Arial" w:eastAsia="Times New Roman" w:hAnsi="Arial" w:cs="Arial"/>
          <w:b/>
          <w:bCs/>
          <w:color w:val="333333"/>
          <w:sz w:val="26"/>
          <w:szCs w:val="26"/>
          <w:lang w:eastAsia="ru-RU"/>
        </w:rPr>
        <w:t>I. Общие положения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 Настоящие рекомендации учитываются трехсторонними комиссиями по регулированию социально-трудовых отношений, образованными в субъектах </w:t>
      </w:r>
      <w:r w:rsidRPr="004B3604">
        <w:rPr>
          <w:rFonts w:ascii="Arial" w:eastAsia="Times New Roman" w:hAnsi="Arial" w:cs="Arial"/>
          <w:color w:val="333333"/>
          <w:sz w:val="23"/>
          <w:szCs w:val="23"/>
          <w:lang w:eastAsia="ru-RU"/>
        </w:rPr>
        <w:lastRenderedPageBreak/>
        <w:t>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2025 году.</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II. Принципы формирования федеральной, региональных и муниципальных систем оплаты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обеспечение повышения уровня реального содержания заработной платы работников государственных и муниципальных учреждений, в том числе: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2024 году;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w:t>
      </w:r>
      <w:r w:rsidRPr="004B3604">
        <w:rPr>
          <w:rFonts w:ascii="Arial" w:eastAsia="Times New Roman" w:hAnsi="Arial" w:cs="Arial"/>
          <w:color w:val="333333"/>
          <w:sz w:val="23"/>
          <w:szCs w:val="23"/>
          <w:lang w:eastAsia="ru-RU"/>
        </w:rPr>
        <w:lastRenderedPageBreak/>
        <w:t>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III. Перечень норм и условий оплаты труда, регламентируемых федеральными законами и иными нормативными правовыми актами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а) 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w:t>
      </w:r>
      <w:r w:rsidRPr="004B3604">
        <w:rPr>
          <w:rFonts w:ascii="Arial" w:eastAsia="Times New Roman" w:hAnsi="Arial" w:cs="Arial"/>
          <w:color w:val="333333"/>
          <w:sz w:val="23"/>
          <w:szCs w:val="23"/>
          <w:lang w:eastAsia="ru-RU"/>
        </w:rPr>
        <w:lastRenderedPageBreak/>
        <w:t>сентября 2024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размеры и условия установления повышенной оплаты труда работников, занятых на работах с вредными и (или) опасными условиями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"О специальной оценке условий труда" с учетом изменений, внесенных Федеральным законом от 26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ред. от 24 июля 2023 г. № 381-ФЗ, с учетом Постановления Конституционного Суда Российской Федерации от 4 октября 2022 г. № 40-П);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w:t>
      </w:r>
      <w:r w:rsidRPr="004B3604">
        <w:rPr>
          <w:rFonts w:ascii="Arial" w:eastAsia="Times New Roman" w:hAnsi="Arial" w:cs="Arial"/>
          <w:color w:val="333333"/>
          <w:sz w:val="23"/>
          <w:szCs w:val="23"/>
          <w:lang w:eastAsia="ru-RU"/>
        </w:rPr>
        <w:lastRenderedPageBreak/>
        <w:t>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IV. Системы оплаты труда работников государственных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недопущения в 2025 году снижения установленных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w:t>
      </w:r>
      <w:r w:rsidRPr="004B3604">
        <w:rPr>
          <w:rFonts w:ascii="Arial" w:eastAsia="Times New Roman" w:hAnsi="Arial" w:cs="Arial"/>
          <w:color w:val="333333"/>
          <w:sz w:val="23"/>
          <w:szCs w:val="23"/>
          <w:lang w:eastAsia="ru-RU"/>
        </w:rPr>
        <w:lastRenderedPageBreak/>
        <w:t>устанавливаемого федеральным законом, и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от 23 сентября 2024 г. № 40-П;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w:t>
      </w:r>
      <w:r w:rsidRPr="004B3604">
        <w:rPr>
          <w:rFonts w:ascii="Arial" w:eastAsia="Times New Roman" w:hAnsi="Arial" w:cs="Arial"/>
          <w:color w:val="333333"/>
          <w:sz w:val="23"/>
          <w:szCs w:val="23"/>
          <w:lang w:eastAsia="ru-RU"/>
        </w:rPr>
        <w:lastRenderedPageBreak/>
        <w:t>июня 2023 г. № 35-П и от 23 сентября 2024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мнения соответствующего выборного органа первичной профсоюзной организации и соответствующих профсоюзов (объединений профсоюзов);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 введении новых норм труда работники должны быть извещены не позднее чем за 2 месяца.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 г.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Выполнение работником трудовой функции дистанционно не может являться основанием для снижения ему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получении образования или восстановлении документов об образовании - со дня представления соответствующего документа;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при установлении или присвоении квалификационной категории - со дня вынесения решения аттестационной комиссией;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присвоении почетного звания, награждении ведомственными знаками отличия (наград) - со дня присвоения, награждения;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V. Системы оплаты труда работников федеральных государственных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10. Системы оплаты труда работников учреждений устанавливаются и изменяются с учетом: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настоящих рекомендаций;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мнения выборного органа первичной профсоюзной организации.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w:t>
      </w:r>
      <w:r w:rsidRPr="004B3604">
        <w:rPr>
          <w:rFonts w:ascii="Arial" w:eastAsia="Times New Roman" w:hAnsi="Arial" w:cs="Arial"/>
          <w:color w:val="333333"/>
          <w:sz w:val="23"/>
          <w:szCs w:val="23"/>
          <w:lang w:eastAsia="ru-RU"/>
        </w:rPr>
        <w:lastRenderedPageBreak/>
        <w:t>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Работодатели принимают меры по улучшению условий труда работников с учетом результатов специальной оценки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от 27 июня 2023 г. № 35-П и от 23 сентября 2024 г. № 40-П;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Постановлении от 7 декабря 2017 г. № 38-П;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Разработка показателей и критериев эффективности работы осуществляется с учетом следующих принципов: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адекватность - вознаграждение должно быть адекватно трудовому вкладу каждого работника в результат коллективного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своевременность - вознаграждение должно следовать за достижением результатов;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прозрачность - правила определения вознаграждения должны быть понятны каждому работнику.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VI. Системы оплаты труда руководителей государственных и муниципальных учреждений, их заместителей и главных бухгалтеров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(в ред. постановления Правительства Российской Федерации от 9 ноября 2018 г. № 1338).</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Без учета предельного уровня соотношений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27. Информация о рассчитанной за 2024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2025 г.</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VII. Формирование фондов оплаты труда в государственных и муниципальных учреждениях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подпунктом "и" пункта 7 настоящих рекомендаций.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подпунктом "и" пункта 7 настоящих рекомендаций.</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VIII. Системы оплаты труда работников государственных учреждений субъектов Российской Федерации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разделах II - IV настоящих рекомендаций, а также требованиями к отраслевым системам оплаты труда, утвержденными Правительством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Органам государственной власти субъектов Российской Федерации и органам местного самоуправления рекомендуется: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w:t>
      </w:r>
      <w:r w:rsidRPr="004B3604">
        <w:rPr>
          <w:rFonts w:ascii="Arial" w:eastAsia="Times New Roman" w:hAnsi="Arial" w:cs="Arial"/>
          <w:color w:val="333333"/>
          <w:sz w:val="23"/>
          <w:szCs w:val="23"/>
          <w:lang w:eastAsia="ru-RU"/>
        </w:rPr>
        <w:lastRenderedPageBreak/>
        <w:t>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Минздрава России от 28 июня 2013 г. № 421; приказом Минтруда России от 1 июля 2013 г. № 287; приказом Минкультуры России от 28 июня 2013 г. № 920; приказом Минобрнауки России от 1 февраля 2022 г. № 92, приказом Минобрнауки России от 23 июня 2021 г. № 525; приказом Минпросвещения России от 28 марта 2023 г. № 211, предусмотренные в письмах Минобрнауки России от 20 июня 2013 г. № АП-1073/02, Минкультуры России от 5 августа 2014 г. № 166-01-39/04-НМ, а также установленные в планах мероприятий по реализации "дорожных карт" значения целевых показателей развития соответствующих отраслей.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2025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w:t>
      </w:r>
      <w:r w:rsidRPr="004B3604">
        <w:rPr>
          <w:rFonts w:ascii="Arial" w:eastAsia="Times New Roman" w:hAnsi="Arial" w:cs="Arial"/>
          <w:color w:val="333333"/>
          <w:sz w:val="23"/>
          <w:szCs w:val="23"/>
          <w:lang w:eastAsia="ru-RU"/>
        </w:rPr>
        <w:lastRenderedPageBreak/>
        <w:t>предусмотренными разделами I - IV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разделе V настоящих рекомендаций, обратив особое внимание при применении этих положений учреждениями на: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 и (или) требованиями, утвержденных Правительством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самостоятельное утверждение штатного расписания руководителем учреждения (представителем работодателя);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утверждать квалификационные характеристики по должностям служащих и профессиям рабочих;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отступать от единого реестра ученых степеней и ученых званий и порядка присуждения ученых степеней, утверждаемых в установленном порядке;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34. При применении систем оплаты труда работников учреждений следует обращать внимание на: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w:t>
      </w:r>
      <w:r w:rsidRPr="004B3604">
        <w:rPr>
          <w:rFonts w:ascii="Arial" w:eastAsia="Times New Roman" w:hAnsi="Arial" w:cs="Arial"/>
          <w:color w:val="333333"/>
          <w:sz w:val="23"/>
          <w:szCs w:val="23"/>
          <w:lang w:eastAsia="ru-RU"/>
        </w:rPr>
        <w:lastRenderedPageBreak/>
        <w:t>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w:t>
      </w:r>
      <w:r w:rsidRPr="004B3604">
        <w:rPr>
          <w:rFonts w:ascii="Arial" w:eastAsia="Times New Roman" w:hAnsi="Arial" w:cs="Arial"/>
          <w:color w:val="333333"/>
          <w:sz w:val="23"/>
          <w:szCs w:val="23"/>
          <w:lang w:eastAsia="ru-RU"/>
        </w:rPr>
        <w:lastRenderedPageBreak/>
        <w:t>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IX. Особенности формирования систем оплаты труда работников сферы образования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2025 году необходимо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36.1. Не допускать снижения уровня заработной платы работников образовательных учреждений, в том числе педагогических работников, достигнутого в 2024 году и определяемого на основе статистических данных Федеральной службы государственной статистики.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36.2. В целях развития кадрового потенциала, повышения престижности и привлекательности педагогической профессии, 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36.5. 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Российской Федерации, а также учитывая проведение на федеральном уровне работы по подготовке предложений по реализации положений части 8 и 9 статьи 144 Трудового кодекса Российской Федерации,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w:t>
      </w:r>
      <w:r w:rsidRPr="004B3604">
        <w:rPr>
          <w:rFonts w:ascii="Arial" w:eastAsia="Times New Roman" w:hAnsi="Arial" w:cs="Arial"/>
          <w:color w:val="333333"/>
          <w:sz w:val="23"/>
          <w:szCs w:val="23"/>
          <w:lang w:eastAsia="ru-RU"/>
        </w:rPr>
        <w:lastRenderedPageBreak/>
        <w:t>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то есть установление их в новых размерах;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учитывать, что квалификационные уровни ПКГ педагогических работников, как должностей работников, имеющих важное социальное значение</w:t>
      </w:r>
      <w:r w:rsidRPr="004B3604">
        <w:rPr>
          <w:rFonts w:ascii="Arial" w:eastAsia="Times New Roman" w:hAnsi="Arial" w:cs="Arial"/>
          <w:color w:val="333333"/>
          <w:sz w:val="20"/>
          <w:szCs w:val="20"/>
          <w:vertAlign w:val="superscript"/>
          <w:lang w:eastAsia="ru-RU"/>
        </w:rPr>
        <w:t>1 </w:t>
      </w:r>
      <w:r w:rsidRPr="004B3604">
        <w:rPr>
          <w:rFonts w:ascii="Arial" w:eastAsia="Times New Roman" w:hAnsi="Arial" w:cs="Arial"/>
          <w:color w:val="333333"/>
          <w:sz w:val="23"/>
          <w:szCs w:val="23"/>
          <w:lang w:eastAsia="ru-RU"/>
        </w:rPr>
        <w:t>&lt;1&gt;,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провести работу по упорядочению применяемых наименований и видов выплат в структуре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36.5.1. Рекомендуемый единый перечень видов выплат компенсационного характера и рекомендуемые единые условия их применения: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выплаты, предусмотренные Трудовым кодексом Российской Федерации и иными нормативными правовыми актами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классное руководство (кураторство), за каждый класс (класс-комплект), учебную группу независимо от количества обучающихся в классе (классе комплекте), учебной группе одному педагогическому работнику (не более чем в двух классах (учебных группах);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 проверку письменных работ с учетом фактического объема учебной нагрузки;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заведование учебными кабинетами, лабораториями;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заведование учебными мастерскими, учебно-опытными участками;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руководство методическим объединением, предметной, цикловой, методической комиссией в образовательной организации педагогическим работникам, не имеющим квалификационной категории "педагог-методист";</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руководство методическим объединением, предметной, цикловой, методической комиссией в образовательной организации педагогическим работникам, имеющим квалификационную категорию "педагог-методист";</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выполнение дополнительной работы, связанной с наставничеством, педагогическим работникам, не имеющим квалификационную категорию "педагог-наставник" ;</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выполнение дополнительной работы, связанной с наставничеством, педагогическим работникам, имеющим квалификационную категорию "педагог-наставник" ;</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выплаты компенсационного характера, связанные с особенностями работы в образовательных организациях: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с учетом фактического объема учебной нагрузки по преподаваемому предмету (с учетом фактического объема педагогической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с учетом фактического объема учебной нагрузки по преподаваемому предмету (с учетом фактического объема педагогической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педагогических работников, непосредственно осуществляющих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 с учетом фактического объема учебной нагрузки по преподаваемому предмету;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педагогических работников, непосредственно осуществляющих индивидуальное или групповое обучение детей, находящихся на длительном лечении в медицинской организации - с учетом фактического объема учебной нагрузки по преподаваемому предмету (с учетом фактического объема педагогической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в организациях, для детей-сирот и детей, оставшихся без попечения родителей, в профессиональных образовательных организациях (группах) для детей-сирот и детей, оставшихся без попечения родителей с учетом фактического объема учебной нагрузки по преподаваемому предмету (с учетом фактического объема педагогической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 особенности работы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специальных учебно-воспитательных учреждениях открытого и закрытого типа) с учетом фактического объема учебной нагрузки по преподаваемому предмету (с учетом фактического объема педагогической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особенности работы в образовательных организациях, созданных при исправительных учреждениях уголовно-исполнительной системы.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36.5.2. Рекомендуемый единый перечень видов выплат стимулирующего характера и рекомендуемые единые условия их применения: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за наличие первой или высшей квалификационной категории;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за работу в сельской местности;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молодым специалистам, осуществляющим педагогическую деятельность;</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советнику директора по воспитанию и взаимодействию с детскими общественными объединениями;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Минпросвещения России от 12 мая 2020 г. № ВБ-1011/08);</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от 7 сентября 2020 г. № ВБ-1700/08);</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г) разъяснений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 письмо Минпросвещения России от 6 декабря 2023 г. № АБ-5037/05;</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положений Отраслевого соглашения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положений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рекомендуемых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Минпросвещения России от 3 ноября 2023 г. № 829 (зарегистрирован Минюстом России от 7 декабря 2023 г., регистрационный номер 76307), применяемого при разработке Положения о об оплате труда соответствующей образовательной организацией и для установления размеров окладов (должностных окладов), ставок заработной платы работников по квалификационным уровням профессионально-квалификационных групп;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Минобрнауки России от 14 марта 2024 г. № 195 (зарегистрирован Минюстом России от 26 июня 2024 г., регистрационный № 78682) с учетом его актуализации,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работников по квалификационным уровням профессиональных квалификационных групп;</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разъяснений по вопросам разработки положений об оплате труда в учреждениях, подведомственных Минобрнауки России, направленных руководителям указанных учреждений (письмо Минобрнауки России от 5 августа 2024 г. № МН-18/1109-АО).</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в соответствии с которым в зависимости от должности и (или) специальности педагогических работников с учетом особенностей их труда </w:t>
      </w:r>
      <w:r w:rsidRPr="004B3604">
        <w:rPr>
          <w:rFonts w:ascii="Arial" w:eastAsia="Times New Roman" w:hAnsi="Arial" w:cs="Arial"/>
          <w:color w:val="333333"/>
          <w:sz w:val="23"/>
          <w:szCs w:val="23"/>
          <w:lang w:eastAsia="ru-RU"/>
        </w:rPr>
        <w:lastRenderedPageBreak/>
        <w:t>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 25, 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"должностной оклад" (оклад) при оплате таких работников не применяется.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с учетом части третьей статьи 333 Трудового кодекса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36.7.2. 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а) для педагогических работников, поименованных в пунктах 2.3 - 2.7 и в подпункте 2.8.1 приказа №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w:t>
      </w:r>
      <w:r w:rsidRPr="004B3604">
        <w:rPr>
          <w:rFonts w:ascii="Arial" w:eastAsia="Times New Roman" w:hAnsi="Arial" w:cs="Arial"/>
          <w:color w:val="333333"/>
          <w:sz w:val="23"/>
          <w:szCs w:val="23"/>
          <w:lang w:eastAsia="ru-RU"/>
        </w:rPr>
        <w:lastRenderedPageBreak/>
        <w:t>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приказа № 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36.7.3. Согласно пункту 2.2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достигающем 18 часов в неделю, и виде педагогической работы, которая будет выполняться им в счет догрузки без дополнительной оплаты.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36.8. 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приложения № 2 к приказу № 1601, с учетом которого:</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36.8.1. При этом следует иметь в виду, что в соответствии с подпунктами 7.1.2 и 7.1.3 приложения № 2 к приказу № 1601 в организациях, осуществляющих </w:t>
      </w:r>
      <w:r w:rsidRPr="004B3604">
        <w:rPr>
          <w:rFonts w:ascii="Arial" w:eastAsia="Times New Roman" w:hAnsi="Arial" w:cs="Arial"/>
          <w:color w:val="333333"/>
          <w:sz w:val="23"/>
          <w:szCs w:val="23"/>
          <w:lang w:eastAsia="ru-RU"/>
        </w:rPr>
        <w:lastRenderedPageBreak/>
        <w:t>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 часов в учебном году.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Минобрнауки России, поименованными в пункте 6.3 приложения № 2 к приказу № 1601. При расчете норм времени педагогических работников, отнесенных к профессорско-преподавательскому составу, в соответствии с п. 6.2 Отраслевого соглашения 1 академический час учебной нагрузки принимается за 1 астрономический час рабочего времени.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36.8.4. При применении пункта 6.3 приложения №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пунктами 25 - 28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2021 г. № 245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занимаемая педагогическим работником должность;</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нормы времени по видам учебной деятельности, утвержденные локальным нормативным актом организации;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в) положения раздела VII приложения к приказу Минобрнауки России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w:t>
      </w:r>
      <w:r w:rsidRPr="004B3604">
        <w:rPr>
          <w:rFonts w:ascii="Arial" w:eastAsia="Times New Roman" w:hAnsi="Arial" w:cs="Arial"/>
          <w:color w:val="333333"/>
          <w:sz w:val="23"/>
          <w:szCs w:val="23"/>
          <w:lang w:eastAsia="ru-RU"/>
        </w:rPr>
        <w:lastRenderedPageBreak/>
        <w:t>образовательные программы высшего образования и дополнительные профессиональные программы.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36.9. Согласно пункту 4.1 раздела IV и пункту 5.1 раздела V приложения к приказу Минобрнауки России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Минобрнауки России от 11 мая 2016 г. № 536, установленных для режима рабочего времени работников в каникулярное время.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36.10. В целях недопущения при оплате труда тренеров-преподавателей и старших тренеров-преподавателей, переведенных с должностей "тренеров" и "старших тренеров", снижения применяемых ранее по этим должностям выплат компенсационного и (или) стимулирующего характера, рекомендуется использовать перечень и размеры таких выплат, предусмотренных ранее для тренеров, в том числе в разделе XII настоящих Рекомендаций.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36.10.1. В отношении тренеров-преподавателей и старших тренеров-преподавателей, переведенных с должностей "тренеров" и "старших тренеров", рекомендуется не допускать снижения общего размера их заработной платы, выплачиваемого по ранее занимаемой должности, с учетом сохранения объема должностных обязанностей работников и выполнения ими работ той же квалификации.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w:t>
      </w:r>
      <w:r w:rsidRPr="004B3604">
        <w:rPr>
          <w:rFonts w:ascii="Arial" w:eastAsia="Times New Roman" w:hAnsi="Arial" w:cs="Arial"/>
          <w:color w:val="333333"/>
          <w:sz w:val="23"/>
          <w:szCs w:val="23"/>
          <w:lang w:eastAsia="ru-RU"/>
        </w:rPr>
        <w:lastRenderedPageBreak/>
        <w:t>должностных окладов, а не ставок заработной платы, как это предусматривается по должности учителя.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36.12. Согласно пункту 1 постановления Конституционного Суда Российской Федерации от 23 сентября 2024 г. № 40-П статья 129, часть первая и третья статьи 133 Трудового кодекса Российской Федерации признаны не противоречащими Конституции Российской Федерации, поскольку в системе действующего правового регулирования они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соответствии с пунктом 2 выявленный в указанном Постановлении Конституционного Суда Российской Федерации конституционно-правовой смысл статьи 129, частей первой и третьей статьи 133 Трудового кодекса Российской Федерации является общеобязательным, что исключает любое иное их истолкование в правоприменительной практике.</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 Особенности формирования систем оплаты труда работников государственных и муниципальных учреждений здравоохранения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обеспечение в 2025 году сохранения установленных Указом Президента Российской Федерации от 7 мая 2012 г. № 597 "О мероприятиях по реализации государственной социальной политики" показателей оплаты труда отдельных категорий медицинских работников;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её повышения в установленном законодательством порядке. При оценке доли окладов в структуре заработной платы не учитываются выплаты, осуществляемые исходя из расчета среднего заработка;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пункте 37 раздела IV Методики проведения специальной оценки условий труда, утвержденной приказом Минтруда России от 21 ноября 2023 г. № 817н.</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принятием локальных нормативных актов, либо коллективным договором, трудовым договором.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Если по итогам специальной оценки условий труда рабочее место признается безопасным, повышение оплаты труда не производится.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предусматривать выплаты медицинским работникам за дополнительную работу, связанную с наставничеством;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w:t>
      </w:r>
      <w:r w:rsidRPr="004B3604">
        <w:rPr>
          <w:rFonts w:ascii="Arial" w:eastAsia="Times New Roman" w:hAnsi="Arial" w:cs="Arial"/>
          <w:color w:val="333333"/>
          <w:sz w:val="23"/>
          <w:szCs w:val="23"/>
          <w:lang w:eastAsia="ru-RU"/>
        </w:rPr>
        <w:lastRenderedPageBreak/>
        <w:t>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 должностей медицинских работников и фармацевтических работников, утвержденной приказом Минздрава России от 2 мая 2023 г. № 205н;</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постановления Правительства Российской Федерации от 30 декабря 2019 г. № 1940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приказа Минздрава России 26 марта 2024 г. № 142н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с)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Минздрава </w:t>
      </w:r>
      <w:r w:rsidRPr="004B3604">
        <w:rPr>
          <w:rFonts w:ascii="Arial" w:eastAsia="Times New Roman" w:hAnsi="Arial" w:cs="Arial"/>
          <w:color w:val="333333"/>
          <w:sz w:val="23"/>
          <w:szCs w:val="23"/>
          <w:lang w:eastAsia="ru-RU"/>
        </w:rPr>
        <w:lastRenderedPageBreak/>
        <w:t>России от 2 апреля 2020 г. № 266н. Размер стимулирующих выплат рекомендуется устанавливать в зависимости от качества оказанной медицинской помощи, оцениваемого в соответствии с критериями качества медицинской помощи, предусмотренными в соответствии с приказом Минздрава России от 2 апреля 2020 г. № 266н.</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XI. Особенности формирования систем оплаты труда работников государственных и муниципальных учреждений в сфере культуры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обеспечивать недопущение снижения установленного Указом Президента Российской Федерации от 7 мая 2012 г. № 597 "О мероприятиях по реализации государственной социальной политики" показателя оплаты труда работников учреждений культуры;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w:t>
      </w:r>
      <w:r w:rsidRPr="004B3604">
        <w:rPr>
          <w:rFonts w:ascii="Arial" w:eastAsia="Times New Roman" w:hAnsi="Arial" w:cs="Arial"/>
          <w:color w:val="333333"/>
          <w:sz w:val="23"/>
          <w:szCs w:val="23"/>
          <w:lang w:eastAsia="ru-RU"/>
        </w:rPr>
        <w:lastRenderedPageBreak/>
        <w:t>которые устанавливаются коллективным договором, локальным нормативным актом, трудовым договором;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XII. Особенности формирования систем оплаты труда работников государственных и муниципальных учреждений физической культуры и спорта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работников сферы физической культуры и спорта, необходимо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Повышение оплаты труда работников государственных и муниципальных учреждений физической культуры и спорта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Установление (изменение) систем оплаты труда работников государственных и муниципальных учреждений физической культуры и спорта осуществляется с учетом обеспечения в 2025 году уровня номинальной заработной платы в среднем не ниже уровня, достигнутого в 2024 году (определяется на основе статистических данных, формируемых Минспортом России по форме №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ежегодно утверждаемой Росстатом.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Повышение заработной платы работников,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целях обеспечения единых подходов к регулированию заработной платы рекомендуется устанавливать системы оплаты труда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Минспортом 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"Союз работодателей в сфере физической культуры и спорта".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разработке критериев, влияющих на размер стимулирующих выплат и доплат работникам, в том числе осуществляющим реализацию дополнительных образовательных программ спортивной подготовки, за результативность выполнения другой части работы, рекомендуется руководствоваться описанием трудовых функций, предусмотренных соответствующими профессиональными стандартами, а также Единым квалификационным справочником.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квалификационной категории, спортивных званий и разрядов, наличие ученой степени в сфере физической культуры и спорта, ведомственных наград.</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39.1 Рекомендуемый перечень видов выплат стимулирующего характера и доплат для работников с учетом положений пункта 39 настоящего раздела: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работу с инвалидами и лицами с ограниченными возможностями здоровья в размере 20 процентов;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результаты прохождения независимой оценки квалификации и получения соответствующего свидетельства;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интенсивность и высокие результаты работы, качество выполняемых работ, стаж непрерывной работы, выслугу лет;</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реализацию экспериментальных и инновационных проектов в сфере физической культуры и спорта;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работу в сельской местности;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участие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работу по выявлению, отбору и сопровождению спортивно-одаренных детей;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за участие не менее 2 лет в подготовке спортсмена, достигшего высоких результатов в официальных спортивных соревнованиях не ниже уровня спортивной сборной </w:t>
      </w:r>
      <w:r w:rsidRPr="004B3604">
        <w:rPr>
          <w:rFonts w:ascii="Arial" w:eastAsia="Times New Roman" w:hAnsi="Arial" w:cs="Arial"/>
          <w:color w:val="333333"/>
          <w:sz w:val="23"/>
          <w:szCs w:val="23"/>
          <w:lang w:eastAsia="ru-RU"/>
        </w:rPr>
        <w:lastRenderedPageBreak/>
        <w:t>команды субъекта Российской Федерации,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результативное участие в подготовке спортсмена высокого класса;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осуществление спортивной подготовки спортсмена, заключившим договор (профессиональный контракт) с профессиональным спортивным клубом и участвующим в профессиональных спортивных соревнованиях.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39.2 Дополнительный рекомендуемый перечень видов выплат стимулирующего характера и доплат для работников организаций, осуществляющих образовательную деятельность по дополнительным образовательным программам спортивной подготовки: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работу в организациях, имеющих право использовать в своих наименованиях слова "олимпийский", "паралимпийский", "сурдлимпийский" или образованные на их основе слова и словосочетания, в размере 15 процентов;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выполнение требований к результатам реализации дополнительных образовательных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сохранность контингента на этапе начальной подготовки и учебно-тренировочном этапе;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отсутствие травматизма и сохранение здоровья лиц, проходящих спортивную подготовку;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первичном трудоустройстве по профильной специальности в организацию, реализующую дополнительные образовательные программы спортивной подготовки на начальном и учебно-тренировочных этапах, в течение первых 4 лет в размере до 50 процентов;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трудоустройстве в организацию, реализующую дополнительные образовательные программы спортивной подготовки, где работник проходил спортивную подготовку в качестве спортсмена на этапах спортивной подготовки;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за наставничество над работниками, осуществляющими реализацию дополнительных образовательных программ спортивной подготовки, при первичном трудоустройстве по профильной специальности в организации, реализующие указанные программы;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за результативность выполнения другой части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работой по ведению мониторинга, работы, предусмотренной </w:t>
      </w:r>
      <w:r w:rsidRPr="004B3604">
        <w:rPr>
          <w:rFonts w:ascii="Arial" w:eastAsia="Times New Roman" w:hAnsi="Arial" w:cs="Arial"/>
          <w:color w:val="333333"/>
          <w:sz w:val="23"/>
          <w:szCs w:val="23"/>
          <w:lang w:eastAsia="ru-RU"/>
        </w:rPr>
        <w:lastRenderedPageBreak/>
        <w:t>планами спортивных и иных мероприятий, проводимых со спортсменами, участие в работе коллегиальных органов управления учреждением).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При установлении стимулирующих выплат и доплат работникам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XIII. Особенности формирования систем оплаты труда работников государственных учреждений ветеринарии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не допускать снижения уровня заработной платы работников государственных учреждений ветеринарии, достигнутого в 2024 году;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w:t>
      </w:r>
      <w:r w:rsidRPr="004B3604">
        <w:rPr>
          <w:rFonts w:ascii="Arial" w:eastAsia="Times New Roman" w:hAnsi="Arial" w:cs="Arial"/>
          <w:color w:val="333333"/>
          <w:sz w:val="23"/>
          <w:szCs w:val="23"/>
          <w:lang w:eastAsia="ru-RU"/>
        </w:rPr>
        <w:lastRenderedPageBreak/>
        <w:t>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повышать оплату труда работников государственных учреждений ветеринарии за счет всех источников финансирования в рамках реализации Отраслевого соглашения по агропромышленному комплексу Российской Федерации на 2024-2026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приказами Минздравсоцразвития России от 17 июля 2008 г. № 339н "Об утверждении профессиональных квалификационных групп должностей работников сельского хозяйства", от 29 мая 2008 г. № 247-н "Об утверждении профессиональных квалификационных групп общеотраслевых должностей руководителей, специалистов и служащих" и от 29 мая 2008 г. № 248-н "Об утверждении профессиональных квалификационных групп общеотраслевых профессий рабочих";</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в соответствии с Отраслевым соглашением по агропромышленному комплексу Российской Федерации на 2024-2026 годы.</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lastRenderedPageBreak/>
        <w:t>XIV. Особенности формирования систем оплаты труда работников государственных учреждений лесного хозяйства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необходимо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не допускать снижения уровня заработной платы работников государственных учреждений лесного хозяйства, достигнутого в 2024 году;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обеспечивать в структуре заработной платы долю окладов (должностных окладов) не ниже 70%;</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в соответствии с Отраслевым соглашением по лесному хозяйству Российской Федерации на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XV. Особенности формирования систем оплаты труда работников учреждений службы занятости населения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2025 году рекомендовать учитывать следующее:</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w:t>
      </w:r>
      <w:r w:rsidRPr="004B3604">
        <w:rPr>
          <w:rFonts w:ascii="Arial" w:eastAsia="Times New Roman" w:hAnsi="Arial" w:cs="Arial"/>
          <w:color w:val="333333"/>
          <w:sz w:val="23"/>
          <w:szCs w:val="23"/>
          <w:lang w:eastAsia="ru-RU"/>
        </w:rPr>
        <w:lastRenderedPageBreak/>
        <w:t>окладам (должностным окладам) в фонде оплаты труда организации не ниже 55 процентов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средства, образовавшиеся в результате экономии средств, предусмотренных в фонде оплаты труда работников государственных учреждений службы занятости, использовать в целях осуществления работникам данных учреждений выплат стимулирующего характера;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при увеличении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и)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к)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"эффективного контракта".</w:t>
      </w:r>
    </w:p>
    <w:p w:rsidR="004B3604" w:rsidRPr="004B3604" w:rsidRDefault="004B3604" w:rsidP="004B3604">
      <w:pPr>
        <w:shd w:val="clear" w:color="auto" w:fill="FFFFFF"/>
        <w:spacing w:after="255" w:line="270" w:lineRule="atLeast"/>
        <w:outlineLvl w:val="2"/>
        <w:rPr>
          <w:rFonts w:ascii="Arial" w:eastAsia="Times New Roman" w:hAnsi="Arial" w:cs="Arial"/>
          <w:b/>
          <w:bCs/>
          <w:color w:val="333333"/>
          <w:sz w:val="26"/>
          <w:szCs w:val="26"/>
          <w:lang w:eastAsia="ru-RU"/>
        </w:rPr>
      </w:pPr>
      <w:r w:rsidRPr="004B3604">
        <w:rPr>
          <w:rFonts w:ascii="Arial" w:eastAsia="Times New Roman" w:hAnsi="Arial" w:cs="Arial"/>
          <w:b/>
          <w:bCs/>
          <w:color w:val="333333"/>
          <w:sz w:val="26"/>
          <w:szCs w:val="26"/>
          <w:lang w:eastAsia="ru-RU"/>
        </w:rPr>
        <w:t>XVI. Особенности формирования систем оплаты труда работников государственных и муниципальных учреждений жилищно-коммунального хозяйства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 xml:space="preserve">43. Системы оплаты труда в государственных и муниципальных учреждениях жилищно-коммунального хозяйства рекомендуется устанавливать с учетом </w:t>
      </w:r>
      <w:r w:rsidRPr="004B3604">
        <w:rPr>
          <w:rFonts w:ascii="Arial" w:eastAsia="Times New Roman" w:hAnsi="Arial" w:cs="Arial"/>
          <w:color w:val="333333"/>
          <w:sz w:val="23"/>
          <w:szCs w:val="23"/>
          <w:lang w:eastAsia="ru-RU"/>
        </w:rPr>
        <w:lastRenderedPageBreak/>
        <w:t>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 При этом: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а) в государственных и муниципальных учреждениях жилищно-коммунального хозяйства рекомендуется применять тарифную систему оплаты труда;</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правовых актов социального партнерства в сфере труда (отраслевых тарифных соглашений, коллективных договоров) и локальных нормативных актов;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в) при разработке систем оплаты труда государственных и муниципальных учреждений жилищно-коммунального хозяйства рекомендуется предусматривать особенности нормирования и оплаты труда работников, в том числе на вновь вводимых объектах, учитывая организационно-технические условия выполнения работ, с учетом специфики трудовой деятельности и особенностей, установленных в ФОТС;</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г) заработная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различий в сложности труда. В случае возможного применения приказа Министерства жилищно-коммунального хозяйства РСФСР от 5 декабря 1986 г. № 505 и постановления Госкомтруда СССР и Секретариата ВЦСПС от 21 февраля 1990 г. № 66/3-138 "О 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 следует учитывать фактические различия в сложности труда, актуальные требования к работникам и трудовым процессам;</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д) системы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ФОТС;</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е) учитывая переход государственных и муниципальных учреждений жилищно-коммунального хозяйства на применение профессиональных стандартов в соответствии с постановлением Правительства Российской Федерации от 27 июня 2016 г. №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ж) оплата труда осуществляется за счет выделяемых на эти цели бюджетных ассигнований, средств, поступающих от приносящей доход деятельности, а также средств, получаемых по результатам проведения мероприятий, направленных на повышение эффективности бюджетных расходов;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lastRenderedPageBreak/>
        <w:t>повышение заработной платы специалистов учреждений жилищно-коммунальной сферы осуществляется преимущественно за счет оптимизации деятельности таких учреждений, повышения эффективности производственных процессов, в том числе за счет привлечения более квалифицированных кадров;</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рост заработной платы специалистов учреждений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 граждан за коммунальные услуги;</w:t>
      </w:r>
    </w:p>
    <w:p w:rsidR="004B3604" w:rsidRPr="004B3604" w:rsidRDefault="004B3604" w:rsidP="004B3604">
      <w:pPr>
        <w:shd w:val="clear" w:color="auto" w:fill="FFFFFF"/>
        <w:spacing w:after="255" w:line="270" w:lineRule="atLeast"/>
        <w:rPr>
          <w:rFonts w:ascii="Arial" w:eastAsia="Times New Roman" w:hAnsi="Arial" w:cs="Arial"/>
          <w:color w:val="333333"/>
          <w:sz w:val="23"/>
          <w:szCs w:val="23"/>
          <w:lang w:eastAsia="ru-RU"/>
        </w:rPr>
      </w:pPr>
      <w:r w:rsidRPr="004B3604">
        <w:rPr>
          <w:rFonts w:ascii="Arial" w:eastAsia="Times New Roman" w:hAnsi="Arial" w:cs="Arial"/>
          <w:color w:val="333333"/>
          <w:sz w:val="23"/>
          <w:szCs w:val="23"/>
          <w:lang w:eastAsia="ru-RU"/>
        </w:rPr>
        <w:t>з) конкретная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ее оплаты устанавливаются непосредственно в учреждениях локальными нормативными актами, принимаемыми с учетом мнения выборного профсоюзного органа работников, указанный порядок оплаты целесообразно устанавливать также коллективными договорами.</w:t>
      </w:r>
    </w:p>
    <w:tbl>
      <w:tblPr>
        <w:tblW w:w="0" w:type="auto"/>
        <w:tblCellMar>
          <w:top w:w="15" w:type="dxa"/>
          <w:left w:w="15" w:type="dxa"/>
          <w:bottom w:w="15" w:type="dxa"/>
          <w:right w:w="15" w:type="dxa"/>
        </w:tblCellMar>
        <w:tblLook w:val="04A0" w:firstRow="1" w:lastRow="0" w:firstColumn="1" w:lastColumn="0" w:noHBand="0" w:noVBand="1"/>
      </w:tblPr>
      <w:tblGrid>
        <w:gridCol w:w="4211"/>
        <w:gridCol w:w="4211"/>
      </w:tblGrid>
      <w:tr w:rsidR="004B3604" w:rsidRPr="004B3604" w:rsidTr="004B3604">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Координатор Российской трехсторонней</w:t>
            </w:r>
            <w:r w:rsidRPr="004B3604">
              <w:rPr>
                <w:rFonts w:ascii="Times New Roman" w:eastAsia="Times New Roman" w:hAnsi="Times New Roman" w:cs="Times New Roman"/>
                <w:sz w:val="24"/>
                <w:szCs w:val="24"/>
                <w:lang w:eastAsia="ru-RU"/>
              </w:rPr>
              <w:br/>
              <w:t>комиссии по регулированию</w:t>
            </w:r>
            <w:r w:rsidRPr="004B3604">
              <w:rPr>
                <w:rFonts w:ascii="Times New Roman" w:eastAsia="Times New Roman" w:hAnsi="Times New Roman" w:cs="Times New Roman"/>
                <w:sz w:val="24"/>
                <w:szCs w:val="24"/>
                <w:lang w:eastAsia="ru-RU"/>
              </w:rPr>
              <w:br/>
              <w:t>социально-трудовых отношений</w:t>
            </w:r>
          </w:p>
        </w:tc>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Т.А. Голикова</w:t>
            </w:r>
          </w:p>
        </w:tc>
      </w:tr>
    </w:tbl>
    <w:p w:rsidR="004B3604" w:rsidRPr="004B3604" w:rsidRDefault="004B3604" w:rsidP="004B3604">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3"/>
        <w:gridCol w:w="3263"/>
      </w:tblGrid>
      <w:tr w:rsidR="004B3604" w:rsidRPr="004B3604" w:rsidTr="004B3604">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Координатор стороны</w:t>
            </w:r>
            <w:r w:rsidRPr="004B3604">
              <w:rPr>
                <w:rFonts w:ascii="Times New Roman" w:eastAsia="Times New Roman" w:hAnsi="Times New Roman" w:cs="Times New Roman"/>
                <w:sz w:val="24"/>
                <w:szCs w:val="24"/>
                <w:lang w:eastAsia="ru-RU"/>
              </w:rPr>
              <w:br/>
              <w:t>Комиссии, представляющей</w:t>
            </w:r>
            <w:r w:rsidRPr="004B3604">
              <w:rPr>
                <w:rFonts w:ascii="Times New Roman" w:eastAsia="Times New Roman" w:hAnsi="Times New Roman" w:cs="Times New Roman"/>
                <w:sz w:val="24"/>
                <w:szCs w:val="24"/>
                <w:lang w:eastAsia="ru-RU"/>
              </w:rPr>
              <w:br/>
              <w:t>Правительство</w:t>
            </w:r>
            <w:r w:rsidRPr="004B3604">
              <w:rPr>
                <w:rFonts w:ascii="Times New Roman" w:eastAsia="Times New Roman" w:hAnsi="Times New Roman" w:cs="Times New Roman"/>
                <w:sz w:val="24"/>
                <w:szCs w:val="24"/>
                <w:lang w:eastAsia="ru-RU"/>
              </w:rPr>
              <w:br/>
              <w:t>Российской Федерации.</w:t>
            </w:r>
            <w:r w:rsidRPr="004B3604">
              <w:rPr>
                <w:rFonts w:ascii="Times New Roman" w:eastAsia="Times New Roman" w:hAnsi="Times New Roman" w:cs="Times New Roman"/>
                <w:sz w:val="24"/>
                <w:szCs w:val="24"/>
                <w:lang w:eastAsia="ru-RU"/>
              </w:rPr>
              <w:br/>
              <w:t>Министр труда и социальной</w:t>
            </w:r>
            <w:r w:rsidRPr="004B3604">
              <w:rPr>
                <w:rFonts w:ascii="Times New Roman" w:eastAsia="Times New Roman" w:hAnsi="Times New Roman" w:cs="Times New Roman"/>
                <w:sz w:val="24"/>
                <w:szCs w:val="24"/>
                <w:lang w:eastAsia="ru-RU"/>
              </w:rPr>
              <w:br/>
              <w:t>защиты Российской Федерации</w:t>
            </w:r>
          </w:p>
        </w:tc>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А.О. Котяков</w:t>
            </w:r>
          </w:p>
        </w:tc>
      </w:tr>
    </w:tbl>
    <w:p w:rsidR="004B3604" w:rsidRPr="004B3604" w:rsidRDefault="004B3604" w:rsidP="004B3604">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117"/>
        <w:gridCol w:w="3117"/>
      </w:tblGrid>
      <w:tr w:rsidR="004B3604" w:rsidRPr="004B3604" w:rsidTr="004B3604">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Координатор стороны</w:t>
            </w:r>
            <w:r w:rsidRPr="004B3604">
              <w:rPr>
                <w:rFonts w:ascii="Times New Roman" w:eastAsia="Times New Roman" w:hAnsi="Times New Roman" w:cs="Times New Roman"/>
                <w:sz w:val="24"/>
                <w:szCs w:val="24"/>
                <w:lang w:eastAsia="ru-RU"/>
              </w:rPr>
              <w:br/>
              <w:t>Комиссии, представляющей</w:t>
            </w:r>
            <w:r w:rsidRPr="004B3604">
              <w:rPr>
                <w:rFonts w:ascii="Times New Roman" w:eastAsia="Times New Roman" w:hAnsi="Times New Roman" w:cs="Times New Roman"/>
                <w:sz w:val="24"/>
                <w:szCs w:val="24"/>
                <w:lang w:eastAsia="ru-RU"/>
              </w:rPr>
              <w:br/>
              <w:t>общероссийские объединения</w:t>
            </w:r>
            <w:r w:rsidRPr="004B3604">
              <w:rPr>
                <w:rFonts w:ascii="Times New Roman" w:eastAsia="Times New Roman" w:hAnsi="Times New Roman" w:cs="Times New Roman"/>
                <w:sz w:val="24"/>
                <w:szCs w:val="24"/>
                <w:lang w:eastAsia="ru-RU"/>
              </w:rPr>
              <w:br/>
              <w:t>профсоюзов, президент</w:t>
            </w:r>
            <w:r w:rsidRPr="004B3604">
              <w:rPr>
                <w:rFonts w:ascii="Times New Roman" w:eastAsia="Times New Roman" w:hAnsi="Times New Roman" w:cs="Times New Roman"/>
                <w:sz w:val="24"/>
                <w:szCs w:val="24"/>
                <w:lang w:eastAsia="ru-RU"/>
              </w:rPr>
              <w:br/>
              <w:t>Общероссийского союза</w:t>
            </w:r>
            <w:r w:rsidRPr="004B3604">
              <w:rPr>
                <w:rFonts w:ascii="Times New Roman" w:eastAsia="Times New Roman" w:hAnsi="Times New Roman" w:cs="Times New Roman"/>
                <w:sz w:val="24"/>
                <w:szCs w:val="24"/>
                <w:lang w:eastAsia="ru-RU"/>
              </w:rPr>
              <w:br/>
              <w:t>"Федерация Независимых</w:t>
            </w:r>
            <w:r w:rsidRPr="004B3604">
              <w:rPr>
                <w:rFonts w:ascii="Times New Roman" w:eastAsia="Times New Roman" w:hAnsi="Times New Roman" w:cs="Times New Roman"/>
                <w:sz w:val="24"/>
                <w:szCs w:val="24"/>
                <w:lang w:eastAsia="ru-RU"/>
              </w:rPr>
              <w:br/>
              <w:t>Профсоюзов России"</w:t>
            </w:r>
          </w:p>
        </w:tc>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М.В. Шмаков</w:t>
            </w:r>
          </w:p>
        </w:tc>
      </w:tr>
    </w:tbl>
    <w:p w:rsidR="004B3604" w:rsidRPr="004B3604" w:rsidRDefault="004B3604" w:rsidP="004B3604">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74"/>
        <w:gridCol w:w="3274"/>
      </w:tblGrid>
      <w:tr w:rsidR="004B3604" w:rsidRPr="004B3604" w:rsidTr="004B3604">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Координатор стороны</w:t>
            </w:r>
            <w:r w:rsidRPr="004B3604">
              <w:rPr>
                <w:rFonts w:ascii="Times New Roman" w:eastAsia="Times New Roman" w:hAnsi="Times New Roman" w:cs="Times New Roman"/>
                <w:sz w:val="24"/>
                <w:szCs w:val="24"/>
                <w:lang w:eastAsia="ru-RU"/>
              </w:rPr>
              <w:br/>
              <w:t>Комиссии, нредставляющей</w:t>
            </w:r>
            <w:r w:rsidRPr="004B3604">
              <w:rPr>
                <w:rFonts w:ascii="Times New Roman" w:eastAsia="Times New Roman" w:hAnsi="Times New Roman" w:cs="Times New Roman"/>
                <w:sz w:val="24"/>
                <w:szCs w:val="24"/>
                <w:lang w:eastAsia="ru-RU"/>
              </w:rPr>
              <w:br/>
              <w:t>общероссийские объединения</w:t>
            </w:r>
            <w:r w:rsidRPr="004B3604">
              <w:rPr>
                <w:rFonts w:ascii="Times New Roman" w:eastAsia="Times New Roman" w:hAnsi="Times New Roman" w:cs="Times New Roman"/>
                <w:sz w:val="24"/>
                <w:szCs w:val="24"/>
                <w:lang w:eastAsia="ru-RU"/>
              </w:rPr>
              <w:br/>
              <w:t>работодателей, президент</w:t>
            </w:r>
            <w:r w:rsidRPr="004B3604">
              <w:rPr>
                <w:rFonts w:ascii="Times New Roman" w:eastAsia="Times New Roman" w:hAnsi="Times New Roman" w:cs="Times New Roman"/>
                <w:sz w:val="24"/>
                <w:szCs w:val="24"/>
                <w:lang w:eastAsia="ru-RU"/>
              </w:rPr>
              <w:br/>
              <w:t>Общероссийского объединения</w:t>
            </w:r>
            <w:r w:rsidRPr="004B3604">
              <w:rPr>
                <w:rFonts w:ascii="Times New Roman" w:eastAsia="Times New Roman" w:hAnsi="Times New Roman" w:cs="Times New Roman"/>
                <w:sz w:val="24"/>
                <w:szCs w:val="24"/>
                <w:lang w:eastAsia="ru-RU"/>
              </w:rPr>
              <w:br/>
              <w:t>работодателей "Российский</w:t>
            </w:r>
            <w:r w:rsidRPr="004B3604">
              <w:rPr>
                <w:rFonts w:ascii="Times New Roman" w:eastAsia="Times New Roman" w:hAnsi="Times New Roman" w:cs="Times New Roman"/>
                <w:sz w:val="24"/>
                <w:szCs w:val="24"/>
                <w:lang w:eastAsia="ru-RU"/>
              </w:rPr>
              <w:br/>
              <w:t>союз промышленников и</w:t>
            </w:r>
            <w:r w:rsidRPr="004B3604">
              <w:rPr>
                <w:rFonts w:ascii="Times New Roman" w:eastAsia="Times New Roman" w:hAnsi="Times New Roman" w:cs="Times New Roman"/>
                <w:sz w:val="24"/>
                <w:szCs w:val="24"/>
                <w:lang w:eastAsia="ru-RU"/>
              </w:rPr>
              <w:br/>
              <w:t>предпринимателей"</w:t>
            </w:r>
          </w:p>
        </w:tc>
        <w:tc>
          <w:tcPr>
            <w:tcW w:w="2500" w:type="pct"/>
            <w:hideMark/>
          </w:tcPr>
          <w:p w:rsidR="004B3604" w:rsidRPr="004B3604" w:rsidRDefault="004B3604" w:rsidP="004B3604">
            <w:pPr>
              <w:spacing w:after="0" w:line="240" w:lineRule="auto"/>
              <w:rPr>
                <w:rFonts w:ascii="Times New Roman" w:eastAsia="Times New Roman" w:hAnsi="Times New Roman" w:cs="Times New Roman"/>
                <w:sz w:val="24"/>
                <w:szCs w:val="24"/>
                <w:lang w:eastAsia="ru-RU"/>
              </w:rPr>
            </w:pPr>
            <w:r w:rsidRPr="004B3604">
              <w:rPr>
                <w:rFonts w:ascii="Times New Roman" w:eastAsia="Times New Roman" w:hAnsi="Times New Roman" w:cs="Times New Roman"/>
                <w:sz w:val="24"/>
                <w:szCs w:val="24"/>
                <w:lang w:eastAsia="ru-RU"/>
              </w:rPr>
              <w:t>А.Н. Шохин</w:t>
            </w:r>
          </w:p>
        </w:tc>
      </w:tr>
    </w:tbl>
    <w:p w:rsidR="00DE19A2" w:rsidRDefault="00DE19A2"/>
    <w:sectPr w:rsidR="00DE1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04"/>
    <w:rsid w:val="002E0A85"/>
    <w:rsid w:val="004B3604"/>
    <w:rsid w:val="00DE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14618">
      <w:bodyDiv w:val="1"/>
      <w:marLeft w:val="0"/>
      <w:marRight w:val="0"/>
      <w:marTop w:val="0"/>
      <w:marBottom w:val="0"/>
      <w:divBdr>
        <w:top w:val="none" w:sz="0" w:space="0" w:color="auto"/>
        <w:left w:val="none" w:sz="0" w:space="0" w:color="auto"/>
        <w:bottom w:val="none" w:sz="0" w:space="0" w:color="auto"/>
        <w:right w:val="none" w:sz="0" w:space="0" w:color="auto"/>
      </w:divBdr>
      <w:divsChild>
        <w:div w:id="1796409284">
          <w:marLeft w:val="0"/>
          <w:marRight w:val="0"/>
          <w:marTop w:val="0"/>
          <w:marBottom w:val="180"/>
          <w:divBdr>
            <w:top w:val="none" w:sz="0" w:space="0" w:color="auto"/>
            <w:left w:val="none" w:sz="0" w:space="0" w:color="auto"/>
            <w:bottom w:val="none" w:sz="0" w:space="0" w:color="auto"/>
            <w:right w:val="none" w:sz="0" w:space="0" w:color="auto"/>
          </w:divBdr>
        </w:div>
        <w:div w:id="99745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19458</Words>
  <Characters>110914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buryatia</dc:creator>
  <cp:lastModifiedBy>buryatia</cp:lastModifiedBy>
  <cp:revision>2</cp:revision>
  <dcterms:created xsi:type="dcterms:W3CDTF">2025-01-20T02:24:00Z</dcterms:created>
  <dcterms:modified xsi:type="dcterms:W3CDTF">2025-01-20T02:25:00Z</dcterms:modified>
</cp:coreProperties>
</file>