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01A" w:rsidRDefault="0064401A"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6521"/>
        <w:gridCol w:w="8469"/>
      </w:tblGrid>
      <w:tr w:rsidR="004D6B1D" w:rsidRPr="00220A33" w:rsidTr="0039313D">
        <w:tc>
          <w:tcPr>
            <w:tcW w:w="704" w:type="dxa"/>
            <w:shd w:val="clear" w:color="auto" w:fill="auto"/>
          </w:tcPr>
          <w:p w:rsidR="004D6B1D" w:rsidRPr="00220A33" w:rsidRDefault="004D6B1D" w:rsidP="004D6B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20A3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 ПП.</w:t>
            </w:r>
          </w:p>
        </w:tc>
        <w:tc>
          <w:tcPr>
            <w:tcW w:w="6521" w:type="dxa"/>
            <w:shd w:val="clear" w:color="auto" w:fill="auto"/>
          </w:tcPr>
          <w:p w:rsidR="004D6B1D" w:rsidRPr="00220A33" w:rsidRDefault="004D6B1D" w:rsidP="004D6B1D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20A3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ПРЕДЛОЖЕНИЯ </w:t>
            </w:r>
          </w:p>
          <w:p w:rsidR="004D6B1D" w:rsidRPr="00220A33" w:rsidRDefault="004D6B1D" w:rsidP="004D6B1D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20A3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 ОКЛАДАМ И КОМПЕНСАЦИОННЫМ ВЫПЛАТАМ:</w:t>
            </w:r>
          </w:p>
        </w:tc>
        <w:tc>
          <w:tcPr>
            <w:tcW w:w="8469" w:type="dxa"/>
            <w:shd w:val="clear" w:color="auto" w:fill="auto"/>
          </w:tcPr>
          <w:p w:rsidR="004D6B1D" w:rsidRPr="00220A33" w:rsidRDefault="004D6B1D" w:rsidP="004D6B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20A3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ОБОСНОВАНИЕ</w:t>
            </w:r>
          </w:p>
        </w:tc>
      </w:tr>
      <w:tr w:rsidR="004D6B1D" w:rsidRPr="00220A33" w:rsidTr="0039313D">
        <w:tc>
          <w:tcPr>
            <w:tcW w:w="704" w:type="dxa"/>
            <w:shd w:val="clear" w:color="auto" w:fill="auto"/>
          </w:tcPr>
          <w:p w:rsidR="004D6B1D" w:rsidRPr="00220A33" w:rsidRDefault="004D6B1D" w:rsidP="004D6B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0A33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21" w:type="dxa"/>
            <w:shd w:val="clear" w:color="auto" w:fill="auto"/>
          </w:tcPr>
          <w:p w:rsidR="004D6B1D" w:rsidRPr="00220A33" w:rsidRDefault="004D6B1D" w:rsidP="004D6B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0A33">
              <w:rPr>
                <w:rFonts w:ascii="Times New Roman" w:eastAsia="Calibri" w:hAnsi="Times New Roman" w:cs="Times New Roman"/>
                <w:sz w:val="24"/>
                <w:szCs w:val="24"/>
              </w:rPr>
              <w:t>Перераспределить структуру заработной платы работников таким образом, чтобы доля стимулирующих выплат составляла не более 20 %.</w:t>
            </w:r>
          </w:p>
          <w:p w:rsidR="004D6B1D" w:rsidRPr="00220A33" w:rsidRDefault="004D6B1D" w:rsidP="004D6B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0A33">
              <w:rPr>
                <w:rFonts w:ascii="Times New Roman" w:eastAsia="Calibri" w:hAnsi="Times New Roman" w:cs="Times New Roman"/>
                <w:sz w:val="24"/>
                <w:szCs w:val="24"/>
              </w:rPr>
              <w:t>Увеличить оклады основному персоналу учреждений культуры и образовательных учреждений в сфере культуры исходя из размера МРОТ, установленного с 1 января 2019 года (11280 рублей).</w:t>
            </w:r>
          </w:p>
        </w:tc>
        <w:tc>
          <w:tcPr>
            <w:tcW w:w="8469" w:type="dxa"/>
            <w:shd w:val="clear" w:color="auto" w:fill="auto"/>
          </w:tcPr>
          <w:p w:rsidR="004D6B1D" w:rsidRPr="00220A33" w:rsidRDefault="004D6B1D" w:rsidP="004D6B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0A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В целях развития кадрового потенциала, повышения престижности и привлекательности работы в учреждениях культуры продолжить работу по увеличению доли выплат по окладам (должностным окладам) в структуре заработной платы работников, сбалансировав ее таким образом, чтобы без учета выплат компенсационного характера за работу в местностях с особыми климатическими условиями на выплаты по окладам (должностным окладам) направлялось не менее 50 - 55 процентов заработной платы.</w:t>
            </w:r>
            <w:r w:rsidRPr="00220A33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footnoteReference w:id="1"/>
            </w:r>
          </w:p>
          <w:p w:rsidR="004D6B1D" w:rsidRPr="00220A33" w:rsidRDefault="004D6B1D" w:rsidP="004D6B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0A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В настоящее время в структуре заработной платы отмечается низкая доля оклада, в том числе педагогических работников образовательных учреждений в сфере культуры.</w:t>
            </w:r>
          </w:p>
        </w:tc>
      </w:tr>
      <w:tr w:rsidR="004D6B1D" w:rsidRPr="00220A33" w:rsidTr="0039313D">
        <w:tc>
          <w:tcPr>
            <w:tcW w:w="704" w:type="dxa"/>
            <w:shd w:val="clear" w:color="auto" w:fill="auto"/>
          </w:tcPr>
          <w:p w:rsidR="004D6B1D" w:rsidRPr="00220A33" w:rsidRDefault="004D6B1D" w:rsidP="004D6B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0A33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21" w:type="dxa"/>
            <w:shd w:val="clear" w:color="auto" w:fill="auto"/>
          </w:tcPr>
          <w:p w:rsidR="004D6B1D" w:rsidRPr="00220A33" w:rsidRDefault="004D6B1D" w:rsidP="004D6B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0A33">
              <w:rPr>
                <w:rFonts w:ascii="Times New Roman" w:eastAsia="Calibri" w:hAnsi="Times New Roman" w:cs="Times New Roman"/>
                <w:sz w:val="24"/>
                <w:szCs w:val="24"/>
              </w:rPr>
              <w:t>Увеличить оклады работникам по общеотраслевым должностям руководителей, специалистов и служащих и по должностям общеотраслевых профессий рабочих в учреждениях культуры и образовательных учреждениях.</w:t>
            </w:r>
          </w:p>
        </w:tc>
        <w:tc>
          <w:tcPr>
            <w:tcW w:w="8469" w:type="dxa"/>
            <w:shd w:val="clear" w:color="auto" w:fill="auto"/>
          </w:tcPr>
          <w:p w:rsidR="004D6B1D" w:rsidRPr="00220A33" w:rsidRDefault="004D6B1D" w:rsidP="004D6B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0A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Указанные категории работников не попали под действие майских Указов президента РФ 2012 г.</w:t>
            </w:r>
          </w:p>
        </w:tc>
      </w:tr>
      <w:tr w:rsidR="004D6B1D" w:rsidRPr="00220A33" w:rsidTr="0039313D">
        <w:tc>
          <w:tcPr>
            <w:tcW w:w="704" w:type="dxa"/>
            <w:shd w:val="clear" w:color="auto" w:fill="auto"/>
          </w:tcPr>
          <w:p w:rsidR="004D6B1D" w:rsidRPr="00220A33" w:rsidRDefault="004D6B1D" w:rsidP="004D6B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0A33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21" w:type="dxa"/>
            <w:shd w:val="clear" w:color="auto" w:fill="auto"/>
          </w:tcPr>
          <w:p w:rsidR="004D6B1D" w:rsidRPr="00220A33" w:rsidRDefault="004D6B1D" w:rsidP="004D6B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0A33">
              <w:rPr>
                <w:rFonts w:ascii="Times New Roman" w:eastAsia="Calibri" w:hAnsi="Times New Roman" w:cs="Times New Roman"/>
                <w:sz w:val="24"/>
                <w:szCs w:val="24"/>
              </w:rPr>
              <w:t>Установить оклады в зависимости от уровня квалификации и (или) образования (среднее профессиональное и высшее образование).</w:t>
            </w:r>
          </w:p>
        </w:tc>
        <w:tc>
          <w:tcPr>
            <w:tcW w:w="8469" w:type="dxa"/>
            <w:shd w:val="clear" w:color="auto" w:fill="auto"/>
          </w:tcPr>
          <w:p w:rsidR="004D6B1D" w:rsidRPr="00220A33" w:rsidRDefault="004D6B1D" w:rsidP="004D6B1D">
            <w:pPr>
              <w:spacing w:after="1" w:line="2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0A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Согласно статье 2 Трудового кодекса Российской Федерации основными принципами правового регулирования трудовых отношений и иных непосредственно связанных с ними отношений признаются, в частности обеспечение равенства возможностей работников без всякой дискриминации на продвижение по работе </w:t>
            </w:r>
            <w:r w:rsidRPr="00220A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 учетом производительности труда, квалификации и стажа работы по специальности,</w:t>
            </w:r>
            <w:r w:rsidRPr="00220A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 также на подготовку и дополнительное профессиональное образование.</w:t>
            </w:r>
          </w:p>
          <w:p w:rsidR="004D6B1D" w:rsidRPr="00220A33" w:rsidRDefault="004D6B1D" w:rsidP="004D6B1D">
            <w:pPr>
              <w:spacing w:after="1" w:line="2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0A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Согласно статьям 129, 132 Трудового кодекса Российской Федерации заработная плата (оплата труда работника) - вознаграждение за труд в зависимости </w:t>
            </w:r>
            <w:r w:rsidRPr="00220A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 квалификации работника,</w:t>
            </w:r>
            <w:r w:rsidRPr="00220A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сложности, количества, качества и условий выполняемой работы, а также </w:t>
            </w:r>
            <w:r w:rsidRPr="00220A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компенсационные </w:t>
            </w:r>
            <w:r w:rsidRPr="00220A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выплаты и </w:t>
            </w:r>
            <w:r w:rsidRPr="00220A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стимулирующие выплаты</w:t>
            </w:r>
            <w:r w:rsidRPr="00220A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Заработная плата каждого работника </w:t>
            </w:r>
            <w:r w:rsidRPr="00220A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зависит от его квалификации</w:t>
            </w:r>
            <w:r w:rsidRPr="00220A33">
              <w:rPr>
                <w:rFonts w:ascii="Times New Roman" w:eastAsia="Calibri" w:hAnsi="Times New Roman" w:cs="Times New Roman"/>
                <w:sz w:val="24"/>
                <w:szCs w:val="24"/>
              </w:rPr>
              <w:t>, сложности выполняемой работы, количества и качества затраченного труда.</w:t>
            </w:r>
          </w:p>
          <w:p w:rsidR="004D6B1D" w:rsidRPr="00220A33" w:rsidRDefault="004D6B1D" w:rsidP="00DB3A81">
            <w:pPr>
              <w:spacing w:after="1" w:line="2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6B1D" w:rsidRPr="00220A33" w:rsidTr="0039313D">
        <w:tc>
          <w:tcPr>
            <w:tcW w:w="704" w:type="dxa"/>
            <w:shd w:val="clear" w:color="auto" w:fill="auto"/>
          </w:tcPr>
          <w:p w:rsidR="004D6B1D" w:rsidRPr="00220A33" w:rsidRDefault="004D6B1D" w:rsidP="004D6B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0A33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21" w:type="dxa"/>
            <w:shd w:val="clear" w:color="auto" w:fill="auto"/>
          </w:tcPr>
          <w:p w:rsidR="004D6B1D" w:rsidRPr="00220A33" w:rsidRDefault="004D6B1D" w:rsidP="004D6B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0A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Установить компенсационные выплаты за условия, отклоняющиеся от нормальных (например, за разделенный на части рабочий день, за работу в общеобразовательном учреждении, имеющем интернат) работникам в соответствии </w:t>
            </w:r>
            <w:r w:rsidRPr="00220A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 перечнем профессий и должностей творческих работников средств массовой информации, организаций кинематографии, теле- и видеосъемочных коллективов, театров, театральных и концертных организаций, цирков и иных лиц, участвующих в создании и (или) исполнении (экспонировании) произведений, особенности трудовой деятельности которых установлены Трудовым кодексом Российской Федерации, утвержденным постановлением Правительства РФ от 28 апреля 2007 г. N 252.</w:t>
            </w:r>
          </w:p>
          <w:p w:rsidR="004D6B1D" w:rsidRPr="00220A33" w:rsidRDefault="004D6B1D" w:rsidP="004D6B1D">
            <w:pPr>
              <w:spacing w:after="0" w:line="240" w:lineRule="auto"/>
              <w:ind w:left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69" w:type="dxa"/>
            <w:shd w:val="clear" w:color="auto" w:fill="auto"/>
          </w:tcPr>
          <w:p w:rsidR="004D6B1D" w:rsidRPr="00220A33" w:rsidRDefault="004D6B1D" w:rsidP="004D6B1D">
            <w:pPr>
              <w:spacing w:after="1" w:line="2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0A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      В силу статьи 105 Трудового кодекса Российской Федерации на тех работах, где это необходимо вследствие </w:t>
            </w:r>
            <w:r w:rsidRPr="00220A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особого характера труда</w:t>
            </w:r>
            <w:r w:rsidRPr="00220A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а также при производстве работ, интенсивность которых неодинакова в течение рабочего дня (смены), рабочий день может быть разделен на части с тем, чтобы общая </w:t>
            </w:r>
            <w:r w:rsidRPr="00220A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продолжительность рабочего времени не превышала установленной продолжительности ежедневной работы.</w:t>
            </w:r>
          </w:p>
          <w:p w:rsidR="004D6B1D" w:rsidRPr="00220A33" w:rsidRDefault="004D6B1D" w:rsidP="004D6B1D">
            <w:pPr>
              <w:spacing w:after="1" w:line="2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0A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На основании статьи 149 Трудового кодекса Российской Федерации при выполнении работ в условиях, отклоняющихся от нормальных (перечень не ограничен законодателем) работнику производятся соответствующие выплаты, предусмотренные трудовым законодательством и иными нормативными правовыми актами, содержащими нормы трудового права.</w:t>
            </w:r>
          </w:p>
          <w:p w:rsidR="004D6B1D" w:rsidRPr="00220A33" w:rsidRDefault="004D6B1D" w:rsidP="004D6B1D">
            <w:pPr>
              <w:spacing w:after="1" w:line="2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6B1D" w:rsidRPr="00220A33" w:rsidTr="0039313D">
        <w:tc>
          <w:tcPr>
            <w:tcW w:w="704" w:type="dxa"/>
            <w:shd w:val="clear" w:color="auto" w:fill="auto"/>
          </w:tcPr>
          <w:p w:rsidR="004D6B1D" w:rsidRPr="00220A33" w:rsidRDefault="004D6B1D" w:rsidP="004D6B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0A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6521" w:type="dxa"/>
            <w:shd w:val="clear" w:color="auto" w:fill="auto"/>
          </w:tcPr>
          <w:p w:rsidR="004D6B1D" w:rsidRPr="00220A33" w:rsidRDefault="004D6B1D" w:rsidP="004D6B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0A33">
              <w:rPr>
                <w:rFonts w:ascii="Times New Roman" w:eastAsia="Calibri" w:hAnsi="Times New Roman" w:cs="Times New Roman"/>
                <w:sz w:val="24"/>
                <w:szCs w:val="24"/>
              </w:rPr>
              <w:t>Проанализировать и уточнить нормы в части оплаты труда за выполнение работы в выходные и нерабочие праздничные дни с учетом выводов, изложенных в Постановлении Конституционного Суда Российской Федерации от 28 июня 2018 г. N 26-П.</w:t>
            </w:r>
          </w:p>
        </w:tc>
        <w:tc>
          <w:tcPr>
            <w:tcW w:w="8469" w:type="dxa"/>
            <w:shd w:val="clear" w:color="auto" w:fill="auto"/>
          </w:tcPr>
          <w:p w:rsidR="004D6B1D" w:rsidRPr="00220A33" w:rsidRDefault="004D6B1D" w:rsidP="004D6B1D">
            <w:pPr>
              <w:spacing w:after="1" w:line="2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D6B1D" w:rsidRDefault="004D6B1D"/>
    <w:p w:rsidR="0055310A" w:rsidRDefault="0055310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6521"/>
        <w:gridCol w:w="8469"/>
      </w:tblGrid>
      <w:tr w:rsidR="004D6B1D" w:rsidRPr="004D6B1D" w:rsidTr="0039313D">
        <w:tc>
          <w:tcPr>
            <w:tcW w:w="704" w:type="dxa"/>
          </w:tcPr>
          <w:p w:rsidR="004D6B1D" w:rsidRPr="004D6B1D" w:rsidRDefault="004D6B1D" w:rsidP="004D6B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6B1D">
              <w:rPr>
                <w:rFonts w:ascii="Times New Roman" w:hAnsi="Times New Roman" w:cs="Times New Roman"/>
                <w:b/>
                <w:sz w:val="20"/>
                <w:szCs w:val="20"/>
              </w:rPr>
              <w:t>№ ПП.</w:t>
            </w:r>
          </w:p>
        </w:tc>
        <w:tc>
          <w:tcPr>
            <w:tcW w:w="6521" w:type="dxa"/>
          </w:tcPr>
          <w:p w:rsidR="004D6B1D" w:rsidRPr="004D6B1D" w:rsidRDefault="004D6B1D" w:rsidP="004D6B1D">
            <w:pPr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6B1D">
              <w:rPr>
                <w:rFonts w:ascii="Times New Roman" w:hAnsi="Times New Roman" w:cs="Times New Roman"/>
                <w:b/>
                <w:sz w:val="20"/>
                <w:szCs w:val="20"/>
              </w:rPr>
              <w:t>ПРЕДЛОЖЕНИЯ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СТИМУЛИРУЮЩИМ ВЫПЛАТАМ</w:t>
            </w:r>
            <w:r w:rsidRPr="004D6B1D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8469" w:type="dxa"/>
          </w:tcPr>
          <w:p w:rsidR="004D6B1D" w:rsidRPr="004D6B1D" w:rsidRDefault="004D6B1D" w:rsidP="004D6B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6B1D">
              <w:rPr>
                <w:rFonts w:ascii="Times New Roman" w:hAnsi="Times New Roman" w:cs="Times New Roman"/>
                <w:b/>
                <w:sz w:val="20"/>
                <w:szCs w:val="20"/>
              </w:rPr>
              <w:t>ОБОСНОВАНИЕ</w:t>
            </w:r>
          </w:p>
        </w:tc>
      </w:tr>
      <w:tr w:rsidR="004D6B1D" w:rsidRPr="004D6B1D" w:rsidTr="0039313D">
        <w:tc>
          <w:tcPr>
            <w:tcW w:w="704" w:type="dxa"/>
          </w:tcPr>
          <w:p w:rsidR="004D6B1D" w:rsidRPr="004D6B1D" w:rsidRDefault="004D6B1D" w:rsidP="004D6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B1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521" w:type="dxa"/>
          </w:tcPr>
          <w:p w:rsidR="004D6B1D" w:rsidRPr="004D6B1D" w:rsidRDefault="004D6B1D" w:rsidP="004D6B1D">
            <w:pPr>
              <w:ind w:left="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6B1D">
              <w:rPr>
                <w:rFonts w:ascii="Times New Roman" w:hAnsi="Times New Roman" w:cs="Times New Roman"/>
                <w:sz w:val="20"/>
                <w:szCs w:val="20"/>
              </w:rPr>
              <w:t>Исключить балльную систему при установлении выплат стимулирующего характера и предусмотреть систему выплат стимулирующего характера в % отношении к окладу.</w:t>
            </w:r>
          </w:p>
          <w:p w:rsidR="004D6B1D" w:rsidRPr="004D6B1D" w:rsidRDefault="004D6B1D" w:rsidP="004D6B1D">
            <w:pPr>
              <w:ind w:left="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9" w:type="dxa"/>
          </w:tcPr>
          <w:p w:rsidR="004D6B1D" w:rsidRPr="004D6B1D" w:rsidRDefault="004D6B1D" w:rsidP="004D6B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6B1D">
              <w:rPr>
                <w:rFonts w:ascii="Times New Roman" w:hAnsi="Times New Roman" w:cs="Times New Roman"/>
                <w:sz w:val="20"/>
                <w:szCs w:val="20"/>
              </w:rPr>
              <w:t xml:space="preserve">      Правила определения выплат стимулирующего характера по балльной системе непонятна большинству работнику и части работодателей. </w:t>
            </w:r>
          </w:p>
          <w:p w:rsidR="004D6B1D" w:rsidRPr="004D6B1D" w:rsidRDefault="004D6B1D" w:rsidP="004D6B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6B1D">
              <w:rPr>
                <w:rFonts w:ascii="Times New Roman" w:hAnsi="Times New Roman" w:cs="Times New Roman"/>
                <w:sz w:val="20"/>
                <w:szCs w:val="20"/>
              </w:rPr>
              <w:t xml:space="preserve">      Гарантированный уровень оплаты труда низкооплачиваемой категории работников доводится за счет выплат стимулирующего характера, зависящих от критериев оценки результативности и качества труда, что приводит к уменьшению доли стимулирующих выплат в ФОТ основному персоналу, снижению дифференциации между уровнями оплаты труда низкооплачиваемой категории работников и основного персонала, утрате мотивации к выполнению показателей (характерно для муниципальных учреждений).</w:t>
            </w:r>
          </w:p>
          <w:p w:rsidR="004D6B1D" w:rsidRPr="001560F1" w:rsidRDefault="004D6B1D" w:rsidP="004D6B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6B1D">
              <w:rPr>
                <w:rFonts w:ascii="Times New Roman" w:hAnsi="Times New Roman" w:cs="Times New Roman"/>
                <w:sz w:val="20"/>
                <w:szCs w:val="20"/>
              </w:rPr>
              <w:t xml:space="preserve">       Система непредсказуема (стоимость балла снижается в случаях большего выполнения количества показателей, увеличения числа работников в определяемый период), не действует  в отношении вновь принятых работников в течение первого квартала работы,увеличивает объем работы и документооборот.</w:t>
            </w:r>
            <w:r w:rsidR="001560F1">
              <w:rPr>
                <w:rFonts w:ascii="Times New Roman" w:hAnsi="Times New Roman" w:cs="Times New Roman"/>
                <w:sz w:val="20"/>
                <w:szCs w:val="20"/>
              </w:rPr>
              <w:t>Формулы определения стоимости балла фактически не работают.</w:t>
            </w:r>
          </w:p>
          <w:p w:rsidR="004D6B1D" w:rsidRPr="004D6B1D" w:rsidRDefault="004D6B1D" w:rsidP="004D6B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6B1D">
              <w:rPr>
                <w:rFonts w:ascii="Times New Roman" w:hAnsi="Times New Roman" w:cs="Times New Roman"/>
                <w:sz w:val="20"/>
                <w:szCs w:val="20"/>
              </w:rPr>
              <w:t xml:space="preserve">       Работник должен понимать, какое вознаграждение он получит в зависимости от результатов своего труда, а также за достижение коллективных результатов труда.</w:t>
            </w:r>
          </w:p>
        </w:tc>
      </w:tr>
      <w:tr w:rsidR="004D6B1D" w:rsidRPr="004D6B1D" w:rsidTr="0039313D">
        <w:tc>
          <w:tcPr>
            <w:tcW w:w="704" w:type="dxa"/>
          </w:tcPr>
          <w:p w:rsidR="004D6B1D" w:rsidRPr="004D6B1D" w:rsidRDefault="004D6B1D" w:rsidP="004D6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B1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521" w:type="dxa"/>
          </w:tcPr>
          <w:p w:rsidR="004D6B1D" w:rsidRPr="004D6B1D" w:rsidRDefault="004D6B1D" w:rsidP="004D6B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6B1D">
              <w:rPr>
                <w:rFonts w:ascii="Times New Roman" w:hAnsi="Times New Roman" w:cs="Times New Roman"/>
                <w:sz w:val="20"/>
                <w:szCs w:val="20"/>
              </w:rPr>
              <w:t>Определить критерии результативности и качества труда для определения размеров выплат стимулирующего характера работникам исходя из вида учреждения, в том числе работникам образовательных учреждений.</w:t>
            </w:r>
          </w:p>
        </w:tc>
        <w:tc>
          <w:tcPr>
            <w:tcW w:w="8469" w:type="dxa"/>
            <w:shd w:val="clear" w:color="auto" w:fill="auto"/>
          </w:tcPr>
          <w:p w:rsidR="004D6B1D" w:rsidRPr="004D6B1D" w:rsidRDefault="004D6B1D" w:rsidP="004D6B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6B1D">
              <w:rPr>
                <w:rFonts w:ascii="Times New Roman" w:hAnsi="Times New Roman" w:cs="Times New Roman"/>
                <w:sz w:val="20"/>
                <w:szCs w:val="20"/>
              </w:rPr>
              <w:t xml:space="preserve">       В действующих нормативных правовых актах содержание критериев результативности и качества труда для определения размеров выплат стимулирующего характера носит формальный характер, заведомо невыполнимых для работников, не предусматривают конкретно измеримых показателей, не зависит от условий труда, а иногда </w:t>
            </w:r>
            <w:r w:rsidRPr="004D6B1D">
              <w:rPr>
                <w:rFonts w:ascii="Times New Roman" w:hAnsi="Times New Roman" w:cs="Times New Roman"/>
                <w:i/>
                <w:sz w:val="20"/>
                <w:szCs w:val="20"/>
              </w:rPr>
              <w:t>содержит в себе выплаты компенсационного характера</w:t>
            </w:r>
            <w:r w:rsidRPr="004D6B1D">
              <w:rPr>
                <w:rFonts w:ascii="Times New Roman" w:hAnsi="Times New Roman" w:cs="Times New Roman"/>
                <w:sz w:val="20"/>
                <w:szCs w:val="20"/>
              </w:rPr>
              <w:t xml:space="preserve"> (например, </w:t>
            </w:r>
            <w:r w:rsidRPr="004D6B1D">
              <w:rPr>
                <w:rFonts w:ascii="Times New Roman" w:hAnsi="Times New Roman" w:cs="Times New Roman"/>
                <w:b/>
                <w:sz w:val="20"/>
                <w:szCs w:val="20"/>
              </w:rPr>
              <w:t>привлечение экономических и социальных партнеров</w:t>
            </w:r>
            <w:r w:rsidRPr="004D6B1D">
              <w:rPr>
                <w:rFonts w:ascii="Times New Roman" w:hAnsi="Times New Roman" w:cs="Times New Roman"/>
                <w:sz w:val="20"/>
                <w:szCs w:val="20"/>
              </w:rPr>
              <w:t xml:space="preserve"> для реализации основных направлений деятельности учреждения; разработка и применение </w:t>
            </w:r>
            <w:r w:rsidRPr="004D6B1D">
              <w:rPr>
                <w:rFonts w:ascii="Times New Roman" w:hAnsi="Times New Roman" w:cs="Times New Roman"/>
                <w:b/>
                <w:sz w:val="20"/>
                <w:szCs w:val="20"/>
              </w:rPr>
              <w:t>новых технологий</w:t>
            </w:r>
            <w:r w:rsidRPr="004D6B1D">
              <w:rPr>
                <w:rFonts w:ascii="Times New Roman" w:hAnsi="Times New Roman" w:cs="Times New Roman"/>
                <w:sz w:val="20"/>
                <w:szCs w:val="20"/>
              </w:rPr>
              <w:t xml:space="preserve"> при решении социокультурных задач, стоящих перед учреждением; </w:t>
            </w:r>
            <w:r w:rsidRPr="004D6B1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превышение фактических показателей результативности деятельности </w:t>
            </w:r>
            <w:r w:rsidRPr="004D6B1D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учреждения по сравнению с запланированными</w:t>
            </w:r>
            <w:r w:rsidRPr="004D6B1D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4D6B1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выполнение большего объема работы с использованием меньшего количества ресурсов; </w:t>
            </w:r>
            <w:r w:rsidRPr="004D6B1D">
              <w:rPr>
                <w:rFonts w:ascii="Times New Roman" w:hAnsi="Times New Roman" w:cs="Times New Roman"/>
                <w:sz w:val="20"/>
                <w:szCs w:val="20"/>
              </w:rPr>
              <w:t xml:space="preserve">достижение </w:t>
            </w:r>
            <w:r w:rsidRPr="004D6B1D">
              <w:rPr>
                <w:rFonts w:ascii="Times New Roman" w:hAnsi="Times New Roman" w:cs="Times New Roman"/>
                <w:b/>
                <w:sz w:val="20"/>
                <w:szCs w:val="20"/>
              </w:rPr>
              <w:t>конкретно измеримых положительных результатов</w:t>
            </w:r>
            <w:r w:rsidRPr="004D6B1D">
              <w:rPr>
                <w:rFonts w:ascii="Times New Roman" w:hAnsi="Times New Roman" w:cs="Times New Roman"/>
                <w:sz w:val="20"/>
                <w:szCs w:val="20"/>
              </w:rPr>
              <w:t xml:space="preserve"> в социокультурной деятельности учреждения; применение в работе достижений науки и передовых методов работы; наличие исполнительского мастерства (по результатам </w:t>
            </w:r>
            <w:r w:rsidRPr="004D6B1D">
              <w:rPr>
                <w:rFonts w:ascii="Times New Roman" w:hAnsi="Times New Roman" w:cs="Times New Roman"/>
                <w:b/>
                <w:sz w:val="20"/>
                <w:szCs w:val="20"/>
              </w:rPr>
              <w:t>промежуточного тестирования</w:t>
            </w:r>
            <w:r w:rsidRPr="004D6B1D">
              <w:rPr>
                <w:rFonts w:ascii="Times New Roman" w:hAnsi="Times New Roman" w:cs="Times New Roman"/>
                <w:sz w:val="20"/>
                <w:szCs w:val="20"/>
              </w:rPr>
              <w:t xml:space="preserve"> и аттестации);своевременное выполнение заданий </w:t>
            </w:r>
            <w:r w:rsidRPr="004D6B1D">
              <w:rPr>
                <w:rFonts w:ascii="Times New Roman" w:hAnsi="Times New Roman" w:cs="Times New Roman"/>
                <w:b/>
                <w:sz w:val="20"/>
                <w:szCs w:val="20"/>
              </w:rPr>
              <w:t>художественного руководителя коллектива</w:t>
            </w:r>
            <w:r w:rsidRPr="004D6B1D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4D6B1D" w:rsidRPr="004D6B1D" w:rsidRDefault="00F6457F" w:rsidP="004D6B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Кроме того,  с</w:t>
            </w:r>
            <w:r w:rsidR="004D6B1D" w:rsidRPr="004D6B1D">
              <w:rPr>
                <w:rFonts w:ascii="Times New Roman" w:hAnsi="Times New Roman" w:cs="Times New Roman"/>
                <w:sz w:val="20"/>
                <w:szCs w:val="20"/>
              </w:rPr>
              <w:t xml:space="preserve">одержание критериев результативности и качества труда для определения размеров выплат стимулирующего характера может уточняться и дополняться с учетом специфики учреждения при разработке </w:t>
            </w:r>
            <w:r w:rsidR="004D6B1D" w:rsidRPr="004D6B1D">
              <w:rPr>
                <w:rFonts w:ascii="Times New Roman" w:hAnsi="Times New Roman" w:cs="Times New Roman"/>
                <w:b/>
                <w:sz w:val="20"/>
                <w:szCs w:val="20"/>
              </w:rPr>
              <w:t>положения о стимулировании работников</w:t>
            </w:r>
            <w:r w:rsidR="004D6B1D" w:rsidRPr="004D6B1D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учреждения. В то же время критерии и размеры баллов остаются неизменны. Возникают сложности при определении размера балла в случае изменения или дополнении содержания критерия. </w:t>
            </w:r>
          </w:p>
          <w:p w:rsidR="004D6B1D" w:rsidRPr="004D6B1D" w:rsidRDefault="004D6B1D" w:rsidP="004D6B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6B1D">
              <w:rPr>
                <w:rFonts w:ascii="Times New Roman" w:hAnsi="Times New Roman" w:cs="Times New Roman"/>
                <w:sz w:val="20"/>
                <w:szCs w:val="20"/>
              </w:rPr>
              <w:t xml:space="preserve">       В учреждениях отсутствуют положения о стимулировании работников. Выплаты стимулирующего характера установлены в положении об оплате труда.</w:t>
            </w:r>
          </w:p>
          <w:p w:rsidR="004D6B1D" w:rsidRPr="004D6B1D" w:rsidRDefault="004D6B1D" w:rsidP="004D6B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6B1D">
              <w:rPr>
                <w:rFonts w:ascii="Times New Roman" w:hAnsi="Times New Roman" w:cs="Times New Roman"/>
                <w:sz w:val="20"/>
                <w:szCs w:val="20"/>
              </w:rPr>
              <w:t xml:space="preserve">       Нет отдельных критериев по видам учреждений, в том числе образовательных (ограничен перечень педагогических работников – преподаватели, концертмейстеры). </w:t>
            </w:r>
          </w:p>
        </w:tc>
      </w:tr>
      <w:tr w:rsidR="004D6B1D" w:rsidRPr="004D6B1D" w:rsidTr="0039313D">
        <w:tc>
          <w:tcPr>
            <w:tcW w:w="704" w:type="dxa"/>
          </w:tcPr>
          <w:p w:rsidR="004D6B1D" w:rsidRPr="004D6B1D" w:rsidRDefault="004D6B1D" w:rsidP="004D6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B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6521" w:type="dxa"/>
          </w:tcPr>
          <w:p w:rsidR="004D6B1D" w:rsidRPr="004D6B1D" w:rsidRDefault="004D6B1D" w:rsidP="004D6B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6B1D">
              <w:rPr>
                <w:rFonts w:ascii="Times New Roman" w:hAnsi="Times New Roman" w:cs="Times New Roman"/>
                <w:sz w:val="20"/>
                <w:szCs w:val="20"/>
              </w:rPr>
              <w:t>Уточнить условия установления персональной выплаты в целях повышения уровня оплаты труда молодым специалистам.</w:t>
            </w:r>
          </w:p>
          <w:p w:rsidR="004D6B1D" w:rsidRPr="004D6B1D" w:rsidRDefault="004D6B1D" w:rsidP="004D6B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9" w:type="dxa"/>
          </w:tcPr>
          <w:p w:rsidR="004D6B1D" w:rsidRPr="004D6B1D" w:rsidRDefault="004D6B1D" w:rsidP="004D6B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6B1D">
              <w:rPr>
                <w:rFonts w:ascii="Times New Roman" w:hAnsi="Times New Roman" w:cs="Times New Roman"/>
                <w:sz w:val="20"/>
                <w:szCs w:val="20"/>
              </w:rPr>
              <w:t xml:space="preserve">       В связи с участившимися обращениями о толковании нормы о назначении персональной выплаты в целях повышения уровня оплаты труда молодым специалистам, предлагается уточнить:</w:t>
            </w:r>
          </w:p>
          <w:p w:rsidR="004D6B1D" w:rsidRPr="004D6B1D" w:rsidRDefault="004D6B1D" w:rsidP="004D6B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6B1D">
              <w:rPr>
                <w:rFonts w:ascii="Times New Roman" w:hAnsi="Times New Roman" w:cs="Times New Roman"/>
                <w:sz w:val="20"/>
                <w:szCs w:val="20"/>
              </w:rPr>
              <w:t>- слово «впервые» относится только к окончанию образовательного учреждения или к окончанию образовательного учреждения и заключению трудового договора;</w:t>
            </w:r>
          </w:p>
          <w:p w:rsidR="004D6B1D" w:rsidRPr="004D6B1D" w:rsidRDefault="004D6B1D" w:rsidP="004D6B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6B1D">
              <w:rPr>
                <w:rFonts w:ascii="Times New Roman" w:hAnsi="Times New Roman" w:cs="Times New Roman"/>
                <w:sz w:val="20"/>
                <w:szCs w:val="20"/>
              </w:rPr>
              <w:t>- считается ли последовательное окончание профессионального образовательного учреждения и образовательного учреждения высшего образования условием для назначения выплаты.</w:t>
            </w:r>
          </w:p>
        </w:tc>
      </w:tr>
      <w:tr w:rsidR="004D6B1D" w:rsidRPr="004D6B1D" w:rsidTr="0039313D">
        <w:tc>
          <w:tcPr>
            <w:tcW w:w="704" w:type="dxa"/>
          </w:tcPr>
          <w:p w:rsidR="004D6B1D" w:rsidRPr="004D6B1D" w:rsidRDefault="004D6B1D" w:rsidP="004D6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</w:tcPr>
          <w:p w:rsidR="004D6B1D" w:rsidRPr="004D6B1D" w:rsidRDefault="004D6B1D" w:rsidP="004D6B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9" w:type="dxa"/>
          </w:tcPr>
          <w:p w:rsidR="004D6B1D" w:rsidRPr="004D6B1D" w:rsidRDefault="004D6B1D" w:rsidP="004D6B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D6B1D" w:rsidRDefault="004D6B1D"/>
    <w:sectPr w:rsidR="004D6B1D" w:rsidSect="004D6B1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C0A" w:rsidRDefault="008F4C0A" w:rsidP="004D6B1D">
      <w:pPr>
        <w:spacing w:after="0" w:line="240" w:lineRule="auto"/>
      </w:pPr>
      <w:r>
        <w:separator/>
      </w:r>
    </w:p>
  </w:endnote>
  <w:endnote w:type="continuationSeparator" w:id="0">
    <w:p w:rsidR="008F4C0A" w:rsidRDefault="008F4C0A" w:rsidP="004D6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C0A" w:rsidRDefault="008F4C0A" w:rsidP="004D6B1D">
      <w:pPr>
        <w:spacing w:after="0" w:line="240" w:lineRule="auto"/>
      </w:pPr>
      <w:r>
        <w:separator/>
      </w:r>
    </w:p>
  </w:footnote>
  <w:footnote w:type="continuationSeparator" w:id="0">
    <w:p w:rsidR="008F4C0A" w:rsidRDefault="008F4C0A" w:rsidP="004D6B1D">
      <w:pPr>
        <w:spacing w:after="0" w:line="240" w:lineRule="auto"/>
      </w:pPr>
      <w:r>
        <w:continuationSeparator/>
      </w:r>
    </w:p>
  </w:footnote>
  <w:footnote w:id="1">
    <w:p w:rsidR="004D6B1D" w:rsidRPr="006F302D" w:rsidRDefault="004D6B1D" w:rsidP="004D6B1D">
      <w:pPr>
        <w:pStyle w:val="a4"/>
        <w:jc w:val="both"/>
        <w:rPr>
          <w:rFonts w:ascii="Times New Roman" w:hAnsi="Times New Roman"/>
          <w:sz w:val="16"/>
          <w:szCs w:val="16"/>
        </w:rPr>
      </w:pPr>
      <w:r w:rsidRPr="006F302D">
        <w:rPr>
          <w:rStyle w:val="a6"/>
          <w:rFonts w:ascii="Times New Roman" w:hAnsi="Times New Roman"/>
          <w:sz w:val="16"/>
          <w:szCs w:val="16"/>
        </w:rPr>
        <w:footnoteRef/>
      </w:r>
      <w:r w:rsidRPr="006F302D">
        <w:rPr>
          <w:rFonts w:ascii="Times New Roman" w:hAnsi="Times New Roman"/>
          <w:sz w:val="16"/>
          <w:szCs w:val="16"/>
        </w:rPr>
        <w:t xml:space="preserve"> Единые рекомендации по установлению на федеральном, региональном и местном уровнях систем оплаты труда работников государственных и муниципальных учреждений на 2019 год (утв. решением Российской трехсторонней комиссии по регулированию социально-трудовых отношений от 25.12.2018, протокол N 12).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144"/>
    <w:rsid w:val="001560F1"/>
    <w:rsid w:val="001934D0"/>
    <w:rsid w:val="00220A33"/>
    <w:rsid w:val="002C5262"/>
    <w:rsid w:val="004D6B1D"/>
    <w:rsid w:val="00547144"/>
    <w:rsid w:val="0055310A"/>
    <w:rsid w:val="0064401A"/>
    <w:rsid w:val="00654AAF"/>
    <w:rsid w:val="00680D29"/>
    <w:rsid w:val="00721159"/>
    <w:rsid w:val="0080164F"/>
    <w:rsid w:val="008F4C0A"/>
    <w:rsid w:val="00DB3A81"/>
    <w:rsid w:val="00F645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2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6B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4D6B1D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D6B1D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4D6B1D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5531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310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2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6B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4D6B1D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D6B1D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4D6B1D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5531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31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1192</Words>
  <Characters>6798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Оксана</dc:creator>
  <cp:lastModifiedBy>Admin</cp:lastModifiedBy>
  <cp:revision>2</cp:revision>
  <cp:lastPrinted>2019-01-15T02:37:00Z</cp:lastPrinted>
  <dcterms:created xsi:type="dcterms:W3CDTF">2019-06-10T01:32:00Z</dcterms:created>
  <dcterms:modified xsi:type="dcterms:W3CDTF">2019-06-10T01:32:00Z</dcterms:modified>
</cp:coreProperties>
</file>